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highlight w:val="none"/>
          <w:lang w:eastAsia="zh-CN"/>
        </w:rPr>
        <w:t>附件一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安徽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新华学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院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公共物理实验中心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招标参数</w:t>
      </w:r>
    </w:p>
    <w:tbl>
      <w:tblPr>
        <w:tblStyle w:val="7"/>
        <w:tblpPr w:leftFromText="180" w:rightFromText="180" w:vertAnchor="text" w:horzAnchor="page" w:tblpX="1211" w:tblpY="621"/>
        <w:tblOverlap w:val="never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69"/>
        <w:gridCol w:w="6270"/>
        <w:gridCol w:w="708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z w:val="24"/>
                <w:highlight w:val="none"/>
              </w:rPr>
              <w:t>参数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b/>
                <w:bCs/>
                <w:color w:val="auto"/>
                <w:highlight w:val="none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金属线胀系数测定仪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本实验利用光杠杆放大原理装置来测量金属线膨胀系数。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主要技术参数：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★1、尺读望远镜：放大倍数 30倍；   物镜有效孔径42mm； 视场角  1°26′； 最短视距1米；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2、标尺采用LED背光源，刻度范围±15cm ，工作电源：DC3V；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★3、电加热装置：样品采用竖立电加热，温度可控（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-20°C～200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℃）温度显示方式：LED数显，室温-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℃，带语音播报。圆筒式电加热恒温箱，自带散热孔及风扇。样品加热炉内空间温度达到平衡时，温度不均匀性≤0.3℃。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4、提供配套实验说明指导书，视频操作教程。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★5、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5年内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提供每年不少于2次的进校免费维护。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b/>
                <w:bCs/>
                <w:color w:val="auto"/>
                <w:highlight w:val="none"/>
              </w:rPr>
              <w:t>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密立根油滴仪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主要实验内容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1、验证电荷的不连续性，测定基本电荷的大小；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2、学会对仪器的调整、油滴的选定、跟踪、测量以及数据的处理。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主要技术参数: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1、采用CCD成像系统观察油滴；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2、监视器分度值采用电子分划板；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3、监视器上能显示实验电压、计时时间并能自动进行数据处理。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★4、平衡电压：0～430V可调，提升电压200～300V可调，电压准确度：±1V；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★5、CCD显微镜系统放大倍数：约70倍，CCD分辨率480线，电子格线分度值：0.2mm/格，最低照度F1.2/0.05LUX；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6、监视器：12寸液晶显示器，分辨率1280×800；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7、计时范围：99.99s、计时误差：±0.01s；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8、平行极板间距离（5.00 ± 0.01）mm；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★9、测试按键均采用数字电子开关，提高使用寿命,8健独立操控，且计时开始键与0V键不联动工作，防止油滴启动瞬间的非匀速性带来的实验误差；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10、机身配置二维码识别兼备课件下载、信息采集、数据下载、售后服务线上报修等功能，投标时提供界面截图加盖公章；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11、实验相对误差 ≤3%；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、能在监视器上自动进行实验数据处理和实验结果显示，仪器内置密立根油滴实验仪软件，未避免版权纠纷，投标时提供相应的计算机软件著作权登记证书扫描件加盖公章；或提供权威软件可在线查询结果截图，如：天眼查企业查询软件等。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13、提供配套实验说明指导书，视频操作教程。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★14、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5年内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提供每年不少于2次的进校免费维护。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b/>
                <w:bCs/>
                <w:color w:val="auto"/>
                <w:highlight w:val="none"/>
              </w:rPr>
              <w:t>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直流稳压电源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数字型，单通道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电压：0-30V电流：0-5A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台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b/>
                <w:bCs/>
                <w:color w:val="auto"/>
                <w:highlight w:val="none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信号发生器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Cp1645/P三波形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频率范围10-60MHz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台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32"/>
          <w:highlight w:val="none"/>
          <w:lang w:val="en-US" w:eastAsia="zh-CN"/>
        </w:rPr>
        <w:t>附件二</w:t>
      </w:r>
    </w:p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仿宋_GB2312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  <w:highlight w:val="none"/>
        </w:rPr>
        <w:t>保证承诺</w:t>
      </w: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  <w:highlight w:val="none"/>
          <w:lang w:val="en-US" w:eastAsia="zh-CN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textAlignment w:val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安徽新华学院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保证人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，身份证号码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，系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公司法定代表人/项目负责人。现保证人针对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公司与安徽新华学院就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项目合作并签订《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合同》（下称主合同）事宜，为确保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公司全面履行其在主合同中的各项责任与义务，保证人自愿为其向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 xml:space="preserve"> 安徽新华学院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提供不可撤销的连带保证责任担保，并向安徽新华学院郑重承诺：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一、保证范围。保证人的保证范围，为主合同项下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公司对安徽新华学院应承担的全部责任、义务、债务等，以及安徽新华学院为实现债权而支付的各项费用（包括但不限于诉讼费/仲裁费、财产保全费、财产保全服务费、律师费、差旅费、公证费、执行费、公告费等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</w:rPr>
        <w:t>二、保证期间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保证人的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保证期间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在主合同项下债务履行期限届满后三年；若主合同项下的债务约定分期履行的，则保证期间至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在主合同项下最后一期债务履行期限届满后三年。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</w:rPr>
        <w:t>保证方式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保证人承担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独立的、不可撤销的、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连带责任保证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担保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任何情况下，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不因主合同无效、撤销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等等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而影响本承诺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书的效力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四、保证人承诺，无论安徽新华学院是否对被担保债权享有其他担保（包括但不限于保证、抵押、质押等），保证人在本承诺书项下的保证责任均不因此减免。安徽新华学院均可直接要求保证人依照本承诺书约定承担保证责任，保证人不提出任何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五、保证人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是具备完全民事行为能力的自然人，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保证人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为签订本承诺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提供的所有文件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信息及签字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真实、完整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有效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六、保证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人已充分理解并全面认可主合同及本承诺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的所有条款内容，并承诺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任何情况下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对其提出任何异议。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保证人：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0" w:firstLineChars="25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日期：</w:t>
      </w: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rPr>
          <w:rFonts w:hint="default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  <w:r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  <w:t>附件三</w:t>
      </w:r>
    </w:p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仿宋_GB2312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  <w:highlight w:val="none"/>
        </w:rPr>
        <w:t xml:space="preserve">廉 政 </w:t>
      </w: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  <w:highlight w:val="none"/>
          <w:lang w:eastAsia="zh-CN"/>
        </w:rPr>
        <w:t>承</w:t>
      </w: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  <w:highlight w:val="none"/>
          <w:lang w:eastAsia="zh-CN"/>
        </w:rPr>
        <w:t>诺</w:t>
      </w: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  <w:highlight w:val="none"/>
        </w:rPr>
        <w:t xml:space="preserve">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甲方：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安徽新华学院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第一条 甲乙双方共同承诺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（一）严格遵守国家关于市场准入、项目招标投标、工程建设、施工安装、物资采购和市场活动等有关法律、法规和相关政策，以及廉政建设的各项规定。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（二）严格执行合同文件，自觉按合同办事。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（三）坚持公开、公平、公正的原则，不为获取不正当利益而损害对方利益。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（四）保守对方的商业秘密，不将其用于交易以外的目的。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第二条 甲方承诺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 xml:space="preserve">在交易的事前、事中、事后遵守以下（包括但不限于）事项：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（一）不参加乙方或相关单位的宴请。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（二）不私自收受乙方或相关单位的礼品、礼券或以“低价付款”的物品。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（三）不接受乙方或相关单位的礼金、贿赂、帐外回扣等任何形式的私下经济利益。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（四）不私自接受乙方或相关单位提供的娱乐、游玩或任何考察形式的变相旅游等活动。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（六）不得有其他任何在乙方等相关单位获取不当利益的行为。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第三条 乙方承诺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在交易的事前、事中、事后遵守以下（包括但不限于）事项：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（一）与甲方保持正常的业务交往，严格执行合同约定。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（二）不向甲方工作人员及任何与甲方相关联的单位或个人提供宴请、旅游、健身、娱乐、变相考察等活动。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（三）不私自向甲方、相关单位及其工作人员赠送礼品、现金、有价卡券等。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四）不在帐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（五）及时向甲方通报甲方人员违反本承诺书规定的行为。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第四条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第五条 本承诺书作为交易合同或协议的附件，与交易合同或协议具有同等法律效力。经双方签署后立即生效。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第六条 乙方在履行合同或协议过程中，若发现甲方的相关人员有违反《廉政承诺书》所规定的行为，可以直接向甲方审计督查部投诉（电话：15005518562）。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甲方单位：（盖章）                   乙方单位：（盖章）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法定代表人：                         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法定代表人联系电话：                 法定代表人联系电话：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委托代理人：                         委托代理人：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项目负责人：                         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 xml:space="preserve">监督电话：15005518562                监督电话：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监督邮箱：xhjtdc@xinhuaedu.com       监督邮箱：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 xml:space="preserve">          jtdsz@xinhuaedu.com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 xml:space="preserve">       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16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16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16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16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16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16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1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16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szCs w:val="16"/>
          <w:highlight w:val="none"/>
          <w:lang w:val="en-US" w:eastAsia="zh-CN"/>
        </w:rPr>
        <w:t>附件</w:t>
      </w:r>
      <w:r>
        <w:rPr>
          <w:rFonts w:hint="eastAsia" w:hAnsi="宋体" w:eastAsia="宋体" w:cs="宋体"/>
          <w:b/>
          <w:bCs/>
          <w:color w:val="auto"/>
          <w:sz w:val="24"/>
          <w:szCs w:val="16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16"/>
          <w:highlight w:val="none"/>
          <w:lang w:val="en-US" w:eastAsia="zh-CN"/>
        </w:rPr>
        <w:t>-1</w:t>
      </w:r>
    </w:p>
    <w:tbl>
      <w:tblPr>
        <w:tblStyle w:val="6"/>
        <w:tblpPr w:leftFromText="180" w:rightFromText="180" w:vertAnchor="text" w:horzAnchor="page" w:tblpX="87" w:tblpY="857"/>
        <w:tblOverlap w:val="never"/>
        <w:tblW w:w="9740" w:type="dxa"/>
        <w:tblInd w:w="9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388"/>
        <w:gridCol w:w="992"/>
        <w:gridCol w:w="1143"/>
        <w:gridCol w:w="626"/>
        <w:gridCol w:w="649"/>
        <w:gridCol w:w="1144"/>
        <w:gridCol w:w="1287"/>
        <w:gridCol w:w="9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品牌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型号规格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总价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/元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金属线胀系数测定仪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技术参数见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附件四-3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技术标偏离表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密立根油滴仪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直流稳压电源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信号发生器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7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合计（元）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2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供货周期</w:t>
            </w:r>
          </w:p>
        </w:tc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天</w:t>
            </w:r>
          </w:p>
        </w:tc>
        <w:tc>
          <w:tcPr>
            <w:tcW w:w="24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质保时间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报价单位（盖章）</w:t>
            </w:r>
          </w:p>
        </w:tc>
        <w:tc>
          <w:tcPr>
            <w:tcW w:w="679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4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商务标用 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所投产品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清单报价表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  <w:lang w:val="en-US" w:eastAsia="zh-CN"/>
        </w:rPr>
        <w:t>附件四-2：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技术标用 投标设备清单</w:t>
      </w:r>
    </w:p>
    <w:tbl>
      <w:tblPr>
        <w:tblStyle w:val="6"/>
        <w:tblpPr w:leftFromText="180" w:rightFromText="180" w:vertAnchor="text" w:horzAnchor="page" w:tblpX="162" w:tblpY="185"/>
        <w:tblOverlap w:val="never"/>
        <w:tblW w:w="9761" w:type="dxa"/>
        <w:tblInd w:w="8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84"/>
        <w:gridCol w:w="1443"/>
        <w:gridCol w:w="1638"/>
        <w:gridCol w:w="2885"/>
        <w:gridCol w:w="1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仪器设备名称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品牌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型号规格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  <w:t>投标参数）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  <w:t>投标产品图片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金属线胀系数测定仪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密立根油滴仪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直流稳压电源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信号发生器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  <w:lang w:val="en-US" w:eastAsia="zh-CN"/>
        </w:rPr>
        <w:t>附件四-3：技术标用  参数偏离表</w:t>
      </w:r>
    </w:p>
    <w:tbl>
      <w:tblPr>
        <w:tblStyle w:val="7"/>
        <w:tblW w:w="1105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81"/>
        <w:gridCol w:w="6641"/>
        <w:gridCol w:w="1844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66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招标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规格参数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参考）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highlight w:val="none"/>
                <w:lang w:val="en-US" w:eastAsia="zh-CN"/>
              </w:rPr>
              <w:t>投标产品品牌及参数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不要复制招标参数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0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金属线胀系数测定仪</w:t>
            </w:r>
          </w:p>
        </w:tc>
        <w:tc>
          <w:tcPr>
            <w:tcW w:w="664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本实验利用光杠杆放大原理装置来测量金属线膨胀系数。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主要技术参数：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★1、尺读望远镜：放大倍数 30倍；   物镜有效孔径42mm； 视场角  1°26′； 最短视距1米；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2、标尺采用LED背光源，刻度范围±15cm ，工作电源：DC3V；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★3、电加热装置：样品采用竖立电加热，温度可控（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-20°C～200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℃）温度显示方式：LED数显，室温-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℃，带语音播报。圆筒式电加热恒温箱，自带散热孔及风扇。样品加热炉内空间温度达到平衡时，温度不均匀性≤0.3℃。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4、提供配套实验说明指导书，视频操作教程。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★5、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5年内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提供每年不少于2次的进校免费维护。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4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pStyle w:val="4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0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密立根油滴仪</w:t>
            </w:r>
          </w:p>
        </w:tc>
        <w:tc>
          <w:tcPr>
            <w:tcW w:w="664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主要实验内容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1、验证电荷的不连续性，测定基本电荷的大小；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2、学会对仪器的调整、油滴的选定、跟踪、测量以及数据的处理。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主要技术参数: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1、采用CCD成像系统观察油滴；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2、监视器分度值采用电子分划板；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3、监视器上能显示实验电压、计时时间并能自动进行数据处理。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★4、平衡电压：0～430V可调，提升电压200～300V可调，电压准确度：±1V；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★5、CCD显微镜系统放大倍数：约70倍，CCD分辨率480线，电子格线分度值：0.2mm/格，最低照度F1.2/0.05LUX；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6、监视器：12寸液晶显示器，分辨率1280×800；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7、计时范围：99.99s、计时误差：±0.01s；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8、平行极板间距离（5.00 ± 0.01）mm；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★9、测试按键均采用数字电子开关，提高使用寿命,8健独立操控，且计时开始键与0V键不联动工作，防止油滴启动瞬间的非匀速性带来的实验误差；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10、机身配置二维码识别兼备课件下载、信息采集、数据下载、售后服务线上报修等功能，投标时提供界面截图加盖公章；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11、实验相对误差 ≤3%；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、能在监视器上自动进行实验数据处理和实验结果显示，仪器内置密立根油滴实验仪软件，未避免版权纠纷，投标时提供相应的计算机软件著作权登记证书扫描件加盖公章；或提供权威软件可在线查询结果截图，如：天眼查企业查询软件等。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13、提供配套实验说明指导书，视频操作教程。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★14、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5年内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提供每年不少于2次的进校免费维护。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4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pStyle w:val="4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0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直流稳压电源</w:t>
            </w:r>
          </w:p>
        </w:tc>
        <w:tc>
          <w:tcPr>
            <w:tcW w:w="664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数字型，单通道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电压：0-30V电流：0-5A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4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pStyle w:val="4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0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信号发生器</w:t>
            </w:r>
          </w:p>
        </w:tc>
        <w:tc>
          <w:tcPr>
            <w:tcW w:w="664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Cp1645/P三波形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频率范围10-60MHz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4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pStyle w:val="4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eastAsia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DCFB8"/>
    <w:multiLevelType w:val="singleLevel"/>
    <w:tmpl w:val="C0CDCF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WEwYjc3ZjU0NTk3MTZjMGQwMGQwN2RkMDczMzMifQ=="/>
  </w:docVars>
  <w:rsids>
    <w:rsidRoot w:val="7E144C14"/>
    <w:rsid w:val="7E1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3">
    <w:name w:val="Body Text Indent"/>
    <w:basedOn w:val="1"/>
    <w:unhideWhenUsed/>
    <w:qFormat/>
    <w:uiPriority w:val="0"/>
    <w:pPr>
      <w:ind w:firstLine="645"/>
    </w:pPr>
    <w:rPr>
      <w:rFonts w:ascii="@FangSong_GB2312" w:hAnsi="@FangSong_GB2312" w:eastAsia="@FangSong_GB2312"/>
      <w:kern w:val="0"/>
      <w:sz w:val="32"/>
      <w:szCs w:val="20"/>
    </w:rPr>
  </w:style>
  <w:style w:type="paragraph" w:styleId="4">
    <w:name w:val="Body Text First Indent"/>
    <w:basedOn w:val="2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5">
    <w:name w:val="Body Text First Indent 2"/>
    <w:basedOn w:val="3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2023-07-24T08:17:00Z</dcterms:created>
  <dc:creator>千里草1403852088</dc:creator>
  <cp:lastModifiedBy>千里草1403852088</cp:lastModifiedBy>
  <dcterms:modified xsi:type="dcterms:W3CDTF">2023-07-24T08:18:04Z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30684652747F4194A902A6877EF9B9B2_11</vt:lpwstr>
  </property>
</Properties>
</file>